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Absorptionslösningar för våtkemisk provtagning</w:t>
      </w:r>
    </w:p>
    <w:tbl>
      <w:tblPr>
        <w:tblStyle w:val="Table1"/>
        <w:tblW w:w="9180.0" w:type="dxa"/>
        <w:jc w:val="left"/>
        <w:tblBorders>
          <w:top w:color="000000" w:space="0" w:sz="4" w:val="single"/>
          <w:left w:color="000000" w:space="0" w:sz="6" w:val="single"/>
          <w:bottom w:color="000000" w:space="0" w:sz="4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977"/>
        <w:gridCol w:w="3260"/>
        <w:tblGridChange w:id="0">
          <w:tblGrid>
            <w:gridCol w:w="2943"/>
            <w:gridCol w:w="2977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Parameter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Absorptionslösning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Metaller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HNO</w:t>
            </w:r>
            <w:r w:rsidDel="00000000" w:rsidR="00000000" w:rsidRPr="00000000">
              <w:rPr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; 3,3 % m/m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; 2 % m/m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SS-EN 14385:2004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bookmarkStart w:colFirst="0" w:colLast="0" w:name="_3c4bdnv0husc" w:id="0"/>
            <w:bookmarkEnd w:id="0"/>
            <w:r w:rsidDel="00000000" w:rsidR="00000000" w:rsidRPr="00000000">
              <w:rPr>
                <w:rtl w:val="0"/>
              </w:rPr>
              <w:t xml:space="preserve">Zink - Zn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HNO</w:t>
            </w:r>
            <w:r w:rsidDel="00000000" w:rsidR="00000000" w:rsidRPr="00000000">
              <w:rPr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; 3,3 % m/m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; 2 % m/m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Selen - Se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HNO</w:t>
            </w:r>
            <w:r w:rsidDel="00000000" w:rsidR="00000000" w:rsidRPr="00000000">
              <w:rPr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; 3,3 % m/m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; 2 % m/m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Kvicksilver - Hg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KMnO</w:t>
            </w:r>
            <w:r w:rsidDel="00000000" w:rsidR="00000000" w:rsidRPr="00000000">
              <w:rPr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; 2 % m/m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SO</w:t>
            </w:r>
            <w:r w:rsidDel="00000000" w:rsidR="00000000" w:rsidRPr="00000000">
              <w:rPr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; 10 % m/m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SS-EN 13211:2001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Vätefluorid - HF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NaOH; 0,1 M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SS-ISO 15713:2006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Väteklorid - HCl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Dest. H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O eller </w:t>
              <w:br w:type="textWrapping"/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; 0,3 % m/m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SS-EN 1911;1-2:2010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Svaveldioxid - SO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; 0,3 % m/m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SS-EN 14791:2017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Ammoniak - NH</w:t>
            </w:r>
            <w:r w:rsidDel="00000000" w:rsidR="00000000" w:rsidRPr="00000000">
              <w:rPr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SO</w:t>
            </w:r>
            <w:r w:rsidDel="00000000" w:rsidR="00000000" w:rsidRPr="00000000">
              <w:rPr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; 0,05 M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Energiforsk emissionsmäthandbok 2015 SS-EN 21877:2019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Vätebromid - HBr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NaOH; 0,1 M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SS-ISO 15713:2006 mod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Svaveltrioxid - SO</w:t>
            </w:r>
            <w:r w:rsidDel="00000000" w:rsidR="00000000" w:rsidRPr="00000000">
              <w:rPr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Isopropanol; 80 %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Energiforsk emissionsmäthandbok 2015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Massprocent</w:t>
      </w:r>
    </w:p>
  </w:footnote>
  <w:footnote w:id="1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Parametern provtas och analyseras tillsammans med övriga metaller, men omfattas inte av Miljömätarnas ackreditering.</w:t>
      </w:r>
    </w:p>
  </w:footnote>
  <w:footnote w:id="2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Volymprocent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iCs w:val="1"/>
      <w:color w:val="0f476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rFonts w:ascii="Aptos" w:cs="Aptos" w:eastAsia="Aptos" w:hAnsi="Aptos"/>
      <w:i w:val="1"/>
      <w:iCs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rPr>
        <w:smallCaps w:val="1"/>
        <w:color w:val="000000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